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246</w:t>
      </w:r>
    </w:p>
    <w:p>
      <w:r>
        <w:t>Bundesgericht (BGE), 2015-03-24, DE</w:t>
      </w:r>
    </w:p>
    <w:p>
      <w:r>
        <w:rPr>
          <w:b/>
        </w:rPr>
        <w:t xml:space="preserve">Quelle: </w:t>
      </w:r>
      <w:r>
        <w:t>https://mcp.opencaselaw.ch/entscheid/bge_141 V 246</w:t>
      </w:r>
    </w:p>
    <w:p>
      <w:r>
        <w:t>FR: ATF 141 V 246</w:t>
      </w:r>
    </w:p>
    <w:p>
      <w:r>
        <w:t>IT: DTF 141 V 246</w:t>
      </w:r>
    </w:p>
    <w:p>
      <w:pPr>
        <w:pStyle w:val="Heading2"/>
      </w:pPr>
      <w:r>
        <w:t>Regeste</w:t>
      </w:r>
    </w:p>
    <w:p>
      <w:r>
        <w:t>Regeste Art. 90 der Verordnung (EG) Nr. 987/2009; Beschluss Nr. H3 vom 15. Oktober 2009 über den Bezugszeitpunkt für die Festlegung der Umrechnungskurse gemäss Art. 90 der Verordnung (EG) Nr. 987/2009; Rz. 5033 der Wegleitung zur freiwilligen Alters-, Hinterlassenen- und Invalidenversicherung (WFV); anwendbarer Umrechnungskurs bei der Auszahlung einer Rente der schweizerischen AHV an einen in Deutschland wohnhaften deutschen Staatsangehörigen. Auch nach dem Inkrafttreten der Verordnung (EG) Nr. 987/2009 und des Beschlusses Nr. H3 vom 15. Oktober 2009 auf den 1. April 2012 erfolgt die Umrechnung der in Schweizer Franken festgesetzten AHV-Rente in die Fremdwährung Euro nach nationalen Vorschriften, d.h. in analoger Anwendung von Rz. 5033 WFV (E. 5.2 und 5.3). Die mit der Rentenauszahlung verbundene Umrechnung von Schweizer Franken in Euro richtet sich nach dem Kurs des von der Schweizerischen Ausgleichskasse (SAK) frei wählbaren Finanzinstitutes (Bank oder PostFinance). Es besteht kein Anspruch auf den günstigsten Wechselkurs (E. 6.2).</w:t>
      </w:r>
    </w:p>
    <w:p>
      <w:pPr>
        <w:pStyle w:val="Heading2"/>
      </w:pPr>
      <w:r>
        <w:t>Erwägungen</w:t>
      </w:r>
    </w:p>
    <w:p>
      <w:r>
        <w:rPr>
          <w:b/>
        </w:rPr>
        <w:t>E. 2.1</w:t>
      </w:r>
    </w:p>
    <w:p>
      <w:r>
        <w:t>Der Versicherte ist deutscher Staatsangehöriger mit Wohnsitz in Deutschland. Aus diesem Grunde findet das am 1. Juni 2002 in Kraft getretene Abkommen vom 21. Juni 1999 zwischen der Schweizerischen Eidgenossenschaft einerseits und der Europäischen BGE 141 V 246 S. 249 Gemeinschaft und ihren Mitgliedstaaten andererseits über die Freizügigkeit (FZA; SR 0.142.112.681) Anwendung. Nach Art. 1 Abs. 1 des auf der Grundlage von Art. 8 FZA ausgearbeiteten und Bestandteil des Abkommens bildenden ( Art. 15 FZA ) Anhangs II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(AS 2004 121; nachfolgend: Verordnung Nr. 1408/71) und die Verordnung (EWG) Nr. 574/72 des Rates vom 21. März 1972 über die Durchführung der Verordnung (EWG) Nr. 1408/71 (AS 2005 3909) oder gleichwertige Vorschriften an. Mit Wirkung auf 1. April 2012 sind diese beiden Rechtsakte durch die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abgelöst worden. Nach Art. 4 der Verordnung Nr. 883/2004 haben Personen, für die diese Verordnung gilt, soweit in dieser Verordnung nichts anderes bestimmt ist, die gleichen Rechte und Pflichten aufgrund der Rechtsvorschriften eines Mitgliedstaats wie die Staatsangehörigen dieses Staates. Dabei ist im Rahmen des FZA auch die Schweiz als "Mitgliedstaat" im Sinne dieser Koordinierungsverordnungen zu betrachten ( Art. 1 Abs. 2 Anhang II FZA ).</w:t>
      </w:r>
    </w:p>
    <w:p>
      <w:r>
        <w:rPr>
          <w:b/>
        </w:rPr>
        <w:t>E. 2.2</w:t>
      </w:r>
    </w:p>
    <w:p>
      <w:r>
        <w:t>Unter Vorbehalt der gemeinschafts- bzw. abkommensrechtlichen Vorgaben ist die Ausgestaltung des Verfahrens, die Prüfung der Anspruchsvoraussetzungen und die Berechnung der schweizerischen Altersrente Sache des innerstaatlichen Rechts (vgl. BGE 137 V 282 E. 3.3 S. 285; BGE 131 V 209 E. 5.3 S. 214; BGE 130 V 51 ; SVR 2004 AHV Nr. 16 S. 49, H 39/03; vgl. auch SVR 2006 ALV Nr. 24 S. 82, C 290/03 E. 1.2).</w:t>
      </w:r>
    </w:p>
    <w:p>
      <w:r>
        <w:rPr>
          <w:b/>
        </w:rPr>
        <w:t>E. 3.1</w:t>
      </w:r>
    </w:p>
    <w:p>
      <w:r>
        <w:t>Es ist unbestritten, dass sich der Anspruch des Beschwerdegegners auf eine Rente der AHV ausschliesslich nach dem schweizerischen Recht bestimmt (vgl. E. 2.2 hiervor). Dabei steht fest, dass BGE 141 V 246 S. 250 die SAK die Altersrente an den Beschwerdegegner als im Ausland wohnhaften Anspruchsberechtigten direkt in der Währung des Wohnsitzstaates Deutschland - mithin in Euro - ausrichten darf, dies in analoger Anwendung der Bestimmung des Art. 20 Satz 1 der Verordnung vom 26. Mai 1961 über die freiwillige Alters-, Hinterlassenen- und Invalidenversicherung (VFV; SR 831.111; bis 31. Dezember 2007: Art. 20 Abs. 1 Satz 1 VFV ; vgl. dazu BGE 137 V 282 E. 3.9 und 3.10 S. 289 ff.), und zwar über die PostFinance als Zahlungspartnerin (vgl. dazu BGE 137 V 282 E. 3.8 S. 288 f. und E. 4.3 S. 292 mit Hinweis auf Rz. 10103 und 10105 der Wegleitung des BSV über die Renten [RWL] in der Eidgenössischen Alters-, Hinterlassenen- und Invalidenversicherung, gültig ab 1. Januar 2003 [Stand 1. Januar 2006]).</w:t>
      </w:r>
    </w:p>
    <w:p>
      <w:r>
        <w:rPr>
          <w:b/>
        </w:rPr>
        <w:t>E. 3.2</w:t>
      </w:r>
    </w:p>
    <w:p>
      <w:r>
        <w:t>Was den anwendbaren Umrechnungskurs anbelangt, besteht insoweit Einigkeit unter den Parteien, als unter dem Geltungsbereich der Verordnung Nr. 574/72 Rz. 5033 der Wegleitung des BSV zur freiwilligen Alters-, Hinterlassenen- und Invalidenversicherung (WFV [Stand 1. Januar 2011]) analog anwendbar ist, wonach der Tagesrichtkurs der Schweizer Grossbanken für den letzten Werktag vor der Durchführung der Zahlung gilt (vgl. aber E. 6). Streitig und zu prüfen ist demgegenüber, ob die Vorinstanz zu Recht davon ausgeht, dass diese Regelung nur für die Zeit bis 31. März 2012 gilt und ab 1. April 2012 - zufolge Inkrafttretens der Verordnungen Nr. 883/2004 und Nr. 987/2009 - der von der Europäischen Zentralbank veröffentlichte Referenzwechselkurs gemäss Art. 90 der Verordnung Nr. 987/2009 massgebend ist.</w:t>
      </w:r>
    </w:p>
    <w:p>
      <w:r>
        <w:rPr>
          <w:b/>
        </w:rPr>
        <w:t>E. 4</w:t>
      </w:r>
    </w:p>
    <w:p>
      <w:r>
        <w:t>Unter dem Titel "Währungsumrechnung" regelt Art. 90 der Verordnung Nr. 987/2009 die Umrechnung von Beträgen in ausländischer Währung unter Anwendung der Verordnungen Nr. 883/2004 und Nr. 987/2009. Gemäss Satz 1 gilt bei der Anwendung der Grundverordnung und der Durchführungsverordnung als Wechselkurs zweier Währungen der von der Europäischen Zentralbank veröffentlichte Referenzwechselkurs. Nach Satz 2 bestimmt die Verwaltungskommission den Bezugszeitpunkt für die Festlegung des Wechselkurses. Zu dieser Bestimmung hat die Verwaltungskommission den Beschluss Nr. H3 vom 15. Oktober 2009 über den Bezugszeitpunkt für die Festlegung der Umrechnungskurse gemäss Artikel 90 der Verordnung (EG) Nr. 987/2009 des Europäischen Parlaments und des Rates (ABl. C 106 vom 24. April 2010 S. 56) erlassen. BGE 141 V 246 S. 251</w:t>
      </w:r>
    </w:p>
    <w:p>
      <w:r>
        <w:rPr>
          <w:b/>
        </w:rPr>
        <w:t>E. 5.1</w:t>
      </w:r>
    </w:p>
    <w:p>
      <w:r>
        <w:t>Die Verordnungen Nr. 883/2004 und Nr. 987/2009 schreiben die hergebrachten Koordinierungsgrundsätze fort, indem - wie bisher - die nationalen Systeme sozialer Sicherheit von den EU-Regelungen unberührt bleiben und lediglich untereinander koordiniert werden, nicht aber inhaltlich angeglichen im Sinne einer Harmonisierung (vgl. insbesondere erster Erwägungsgrund der Verordnung Nr. 987/2009; BETTINA KAHIL-WOLFF, Die neuen Koordinierungsverordnungen 883/2004 und 987/2009: Auswirkungen auf die soziale Sicherheit der Schweiz, in: Strassenverkehrsrechtstagung 10.-11. Juni 2010, 2010, S. 265 ff., 269; BERND SCHULTE, Die neue Europäische Sozialrechtskoordinierung in Gestalt der Verordnungen [EG] Nrn. 883/04 und 987/09, SZS 2012 S. 44 ff., 56). Dementsprechend sind auch Art. 90 der Verordnung Nr. 987/2009 und der dazu ergangene Beschluss Nr. H3 der Verwaltungskommission als reine Koordinierungsvorschriften zu verstehen. In diesem Sinne ist auch im ersten Erwägungsgrund des Beschlusses Nr. H3 festgehalten, dass sich viele Bestimmungen der beiden Verordnungen auf Situationen beziehen, in denen für die Zahlung, Berechnung oder Neuberechnung einer Leistung bzw. eines Beitrags, für Erstattungszwecke oder im Zuge von Ausgleichs- und Betreibungsverfahren der Umrechnungskurs festgelegt werden muss.</w:t>
      </w:r>
    </w:p>
    <w:p>
      <w:r>
        <w:rPr>
          <w:b/>
        </w:rPr>
        <w:t>E. 5.2.1</w:t>
      </w:r>
    </w:p>
    <w:p>
      <w:r>
        <w:t>Nach ihrem Wortlaut und ihrem Zweck beziehen sich weder Art. 90 der Verordnung Nr. 987/2009 noch der Beschluss Nr. H3 auf die mit keinem Koordinationsbedarf verbundene Auszahlung von Leistungen, die nur aufgrund von nationalen Rechtsvorschriften berechnet werden (so bereits zu Art. 107 der Verordnung Nr. 574/72: Urteil des EuGH vom 5. Mai 1983 238/81 Raad van Arbeid gen Van der Bunt-Craig , Slg. 1983 S. 1385, wonach bei einer Berechnung der Ansprüche nur aufgrund von nationalen Rechtsvorschriften die Verordnungsbestimmung keine Anwendung findet und sich die Währungsumrechnungskurse nach den nationalen Rechtsvorschriften bestimmen [Randnrn. 18 f.]). Mit derVerordnungsbestimmung und dem Beschluss sollen Ereignisse abgedeckt werden, welche eine Koordinierung erfordern, beispielsweise in Form einer Zusammenarbeit oder eines Austausches zwischen den involvierten Behörden oder Ämtern. Zu denken ist dabei insbesondere an den Fall, dass eine ausländische Leistung bei der Festsetzung einer BGE 141 V 246 S. 252 inländischen Leistung angerechnet werden muss. Eine derartige Konstellation betraf beispielsweise das (unter dem Anwendungsbereich von Art. 107 der Verordnung Nr. 574/72 ergangene) Urteil 9C_377/2011 vom 12. Oktober 2011, in: SVR 2012 EL Nr. 9 S. 29, wo eine in Euro ausgerichtete Altersrente der deutschen Rentenversicherung für deren Berücksichtigung im Rahmen der (schweizerischen) Ergänzungsleistungsberechnung in Schweizer Franken umzurechnen war (vgl. dazu insbesondere E. 3.3 des zitierten Urteils).</w:t>
      </w:r>
    </w:p>
    <w:p>
      <w:r>
        <w:rPr>
          <w:b/>
        </w:rPr>
        <w:t>E. 5.2.2</w:t>
      </w:r>
    </w:p>
    <w:p>
      <w:r>
        <w:t>Dass es sich bei der Nichtaufnahme von blossen Leistungsauszahlungen in den Beschluss Nr. H3 nicht um ein Versehen oder eine Nachlässigkeit seitens der Verwaltungskommission, sondern um einen bewussten Entscheid handelte, legt das BSV in seiner Vernehmlassung eingehend und überzeugend dar: Ursprünglich war in einer der ersten Fassungen des Beschlusses Nr. H3 (Entwurf vom 28. September 2009) ein Absatz enthalten, welcher die Zahlungen von Leistungen erfasste (Ziff. 4 Abs. 3: "For any other payment or reimbursement the conversion of amount to be paid shall be performed at the rate applicable on the date of payment or reimbursement."). Auf Anregung Frankreichs (Note Frankreichs vom 8. Oktober 2009 zur Sitzung der Verwaltungskommission vom 14./15. Oktober 2009 [Ziff. 4, 1. und 2. Absatz]) wurde dieser Absatz gestrichen mit der Begründung, dass das Prinzip bei der Auszahlung von Leistungen darin besteht, dass der auszahlende Träger seine gesetzlichen Verpflichtungen gegenüber dem Rentenberechtigten in seiner eigenen Landeswährung erfüllt. Ein allfälliger Wechselkurs bei der Auszahlung einer Leistung an einen Berechtigten ist deshalb nicht durch den auszahlenden Träger, sondern durch das Finanzinstitut festzulegen; dies erfolgt im Moment des Transfers des Rentenbetrages auf das Konto des Berechtigten, wobei der Rentenbetrag auf dem Konto des auszahlenden Trägers in der eigenen Landeswährung belastet wird.</w:t>
      </w:r>
    </w:p>
    <w:p>
      <w:r>
        <w:rPr>
          <w:b/>
        </w:rPr>
        <w:t>E. 5.2.3</w:t>
      </w:r>
    </w:p>
    <w:p>
      <w:r>
        <w:t>Im Übrigen entspricht das Vorgehen der SAK - wenn auch hier nicht Gradmesser - der Praxis anderer Mitgliedstaaten, beispielsweise Deutschlands und Frankreichs, wie sich aus der Stellungnahme des BSV ergibt. In diesen beiden Staaten wird die Auszahlung der Rente ebenfalls nach nationalen Rechtsvorschriften und die Währungsumrechnung grundsätzlich durch das jeweilige Finanzinstitut zu dessen jeweils gültigem Tageskurs vorgenommen.</w:t>
      </w:r>
    </w:p>
    <w:p>
      <w:r>
        <w:rPr>
          <w:b/>
        </w:rPr>
        <w:t>E. 5.3</w:t>
      </w:r>
    </w:p>
    <w:p>
      <w:r>
        <w:t>Zusammenfassend ergibt sich, dass Art. 90 der Verordnung Nr. 987/2009 und der Beschluss Nr. H3 vom 15. Oktober 2009 auf die BGE 141 V 246 S. 253 hier streitige Umrechnung der Altersrente des Beschwerdegegners von Schweizer Franken in Euro keine Anwendung finden. Auch nach dem Inkrafttreten dieser gemeinschaftsrechtlichen Bestimmungen auf den 1. April 2012 ist der Umrechnungskurs weiterhin nach nationalen Vorschriften zu bestimmen, mithin in analoger Anwendung von Rz. 5033 WFV.</w:t>
      </w:r>
    </w:p>
    <w:p>
      <w:r>
        <w:rPr>
          <w:b/>
        </w:rPr>
        <w:t>E. 5.4</w:t>
      </w:r>
    </w:p>
    <w:p>
      <w:r>
        <w:t>Bei dieser Rechtslage erübrigt es sich, auf die von der SAK im Einzelnen dargelegten praktischen Schwierigkeiten, die eine Umrechnung der Altersrenten nach dem von der Europäischen Zentralbank veröffentlichen Referenzwechselkurs mit sich brächte, näher einzugehen.</w:t>
      </w:r>
    </w:p>
    <w:p>
      <w:r>
        <w:rPr>
          <w:b/>
        </w:rPr>
        <w:t>E. 6.1</w:t>
      </w:r>
    </w:p>
    <w:p>
      <w:r>
        <w:t>Die Vorinstanz hält im Rahmen der analogen Anwendbarkeit von Rz. 5033 WFV - welche nach dem in E. 5.3 Gesagten nicht nur die Monate Januar und Februar 2012 (dazu E. 3.2 hiervor), sondern auch die Folgezeit betrifft - eine weitere Korrektur für angezeigt. Zur Begründung führt sie an, dass der Umrechnungskurs der PostFinance, wie der Bestätigung der Rentenüberweisung vom 8. Juni 2012 zu entnehmen ist (zugrunde liegender Kurs vom 8. Juni 2012: 1.2147), nicht mit dem (in Rz. 5033 WFV vorgeschriebenen) Tagesrichtkurs der Schweizer Grossbanken übereinstimmt, wobei die Vorinstanz als Referenzgrösse den Kurs der Credit Suisse beizieht (am 8. Juni 2012: 1.20123). Da die PostFinance erst seit Beginn des Jahres 2013 (recte: seit 26. Juni 2013) über eine Banklizenz verfüge, seien die in der streitigen Zeit angewendeten Kurse keine eigentlichen Bankkurse. Indem die PostFinance für den Wechselkurs auf eigene Daten abstelle, nehme sie die Umrechnung nicht nach den in Rz. 5033 vorgeschriebenen Kursquellen vor, was zu korrigieren sei.</w:t>
      </w:r>
    </w:p>
    <w:p>
      <w:r>
        <w:rPr>
          <w:b/>
        </w:rPr>
        <w:t>E. 6.2</w:t>
      </w:r>
    </w:p>
    <w:p>
      <w:r>
        <w:t>Entgegen dem angefochtenen Entscheid ist in diesem Zusammenhang irrelevant, dass die PostFinance erst seit Ende Juni 2013 eine Banklizenz hat und die zuvor angewendeten Kurse deshalb keine eigentlichen Bankkurse darstellen. Denn diese Betrachtungsweise trägt dem Umstand nicht Rechnung, dass die PostFinance, bereits bevor ihr die Banklizenz erteilt wurde, eine neben den Banken in Betracht fallende Zahlungspartnerin war (vgl. BGE 137 V 282 E. 3.8 S. 288 f., E. 4.3 S. 292), für welche sich die SAK (ebenso wie für eine Bank) frei entscheiden konnte. Sodann ist lediglich eine analoge - d.h. sinngemässe - Anwendung von Rz. 5033 WFV angezeigt BGE 141 V 246 S. 254 (E. 5.3 hiervor). Dabei schreibt die Wegleitungsbestimmung keine fixe Grösse vor. Im Übrigen existiert der Wechselkurs der Schweizer Grossbanken im Sinne eines für alle Banken geltenden einheitlichen Wertes nicht; vielmehr setzt jede Bank ihren Wechselkurs eigenständig fest. Weshalb diese Autonomie nicht auch der PostFinance zustehen soll, ist nicht ersichtlich. Hinzu kommt, dass der von der PostFinance verwendete Umrechnungskurs, wie aufgrund der Vergleichszahlen feststeht, konkurrenzfähig ist, liegt er doch sehr nahe (im angeführten Beispiel besteht eine Differenz von 0.01347) bei den von den Grossbanken verwendeten Kursen. Bei dieser Sachlage drängt es sich aus verwaltungsökonomischen Gründen auf, die mit der Rentenzahlung verbundene Umrechnung von Schweizer Franken in Euro nach den Bedingungen des jeweiligen, von der SAK frei wählbaren Finanzinstitutes geschehen zu lassen. Dabei ist eine allfällige (Wechselkurs-)Einbusse im Vergleich zu anderen in Frage kommenden Finanzinstituten hinzunehmen. Es besteht kein Anspruch auf den günstigsten Wechselkurs (vgl. auch BGE 137 V 282 E. 5.2 S. 294).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